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93B" w:rsidRDefault="008F7A4A">
      <w:pPr>
        <w:spacing w:after="0" w:line="240" w:lineRule="auto"/>
        <w:ind w:left="5102"/>
        <w:jc w:val="right"/>
        <w:textAlignment w:val="baseline"/>
        <w:rPr>
          <w:rFonts w:eastAsia="Times New Roman" w:cs="Times New Roman"/>
          <w:i/>
        </w:rPr>
      </w:pPr>
      <w:r>
        <w:rPr>
          <w:rFonts w:eastAsia="Times New Roman" w:cs="Times New Roman"/>
          <w:i/>
        </w:rPr>
        <w:t>Specialiųjų pirkimo sąlygų 2 priedas</w:t>
      </w:r>
    </w:p>
    <w:p w:rsidR="0027093B" w:rsidRDefault="0027093B">
      <w:pPr>
        <w:spacing w:after="0" w:line="240" w:lineRule="auto"/>
        <w:ind w:left="5102"/>
        <w:jc w:val="right"/>
        <w:textAlignment w:val="baseline"/>
        <w:rPr>
          <w:rFonts w:eastAsia="Times New Roman" w:cs="Times New Roman"/>
          <w:i/>
        </w:rPr>
      </w:pPr>
    </w:p>
    <w:p w:rsidR="0027093B" w:rsidRDefault="008F7A4A">
      <w:pPr>
        <w:widowControl w:val="0"/>
        <w:spacing w:after="0" w:line="240" w:lineRule="auto"/>
        <w:jc w:val="center"/>
        <w:textAlignment w:val="baseline"/>
        <w:rPr>
          <w:rFonts w:eastAsia="Lucida Sans Unicode" w:cs="Times New Roman"/>
          <w:b/>
          <w:kern w:val="2"/>
        </w:rPr>
      </w:pPr>
      <w:bookmarkStart w:id="0" w:name="_Hlk167715552"/>
      <w:r>
        <w:rPr>
          <w:rFonts w:eastAsia="Lucida Sans Unicode" w:cs="Times New Roman"/>
          <w:b/>
          <w:kern w:val="2"/>
        </w:rPr>
        <w:t>ELEKTRINIŲ TRANSPORTO PRIEMONIŲ ELEKTROS ĮKROVIMO STACIONARIŲ STOTELIŲ TECHNINĖ SPECIFIKACIJA</w:t>
      </w:r>
      <w:bookmarkEnd w:id="0"/>
    </w:p>
    <w:p w:rsidR="0027093B" w:rsidRDefault="0027093B">
      <w:pPr>
        <w:widowControl w:val="0"/>
        <w:spacing w:after="0" w:line="240" w:lineRule="auto"/>
        <w:jc w:val="both"/>
        <w:textAlignment w:val="baseline"/>
        <w:rPr>
          <w:rFonts w:eastAsia="Lucida Sans Unicode" w:cs="Times New Roman"/>
          <w:i/>
          <w:kern w:val="2"/>
        </w:rPr>
      </w:pPr>
    </w:p>
    <w:tbl>
      <w:tblPr>
        <w:tblW w:w="10215" w:type="dxa"/>
        <w:tblLayout w:type="fixed"/>
        <w:tblLook w:val="04A0" w:firstRow="1" w:lastRow="0" w:firstColumn="1" w:lastColumn="0" w:noHBand="0" w:noVBand="1"/>
      </w:tblPr>
      <w:tblGrid>
        <w:gridCol w:w="636"/>
        <w:gridCol w:w="3869"/>
        <w:gridCol w:w="2966"/>
        <w:gridCol w:w="2744"/>
      </w:tblGrid>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b/>
                <w:bCs/>
                <w:kern w:val="2"/>
                <w:sz w:val="16"/>
                <w:szCs w:val="16"/>
              </w:rPr>
            </w:pPr>
            <w:r>
              <w:rPr>
                <w:rFonts w:eastAsia="Lucida Sans Unicode" w:cs="Times New Roman"/>
                <w:b/>
                <w:bCs/>
                <w:kern w:val="2"/>
                <w:sz w:val="22"/>
                <w:szCs w:val="22"/>
              </w:rPr>
              <w:t>Nr</w:t>
            </w:r>
            <w:r>
              <w:rPr>
                <w:rFonts w:eastAsia="Lucida Sans Unicode" w:cs="Times New Roman"/>
                <w:b/>
                <w:bCs/>
                <w:kern w:val="2"/>
                <w:sz w:val="16"/>
                <w:szCs w:val="16"/>
              </w:rPr>
              <w:t>.</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b/>
                <w:bCs/>
                <w:kern w:val="2"/>
                <w:sz w:val="22"/>
                <w:szCs w:val="22"/>
              </w:rPr>
              <w:t>Funkcionalumas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b/>
                <w:bCs/>
                <w:kern w:val="2"/>
                <w:sz w:val="22"/>
                <w:szCs w:val="22"/>
              </w:rPr>
              <w:t>Būtinas Rodiklis</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b/>
                <w:bCs/>
                <w:kern w:val="2"/>
                <w:sz w:val="22"/>
                <w:szCs w:val="22"/>
              </w:rPr>
              <w:t>Siūloma</w:t>
            </w:r>
          </w:p>
        </w:tc>
      </w:tr>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sz w:val="22"/>
                <w:szCs w:val="22"/>
              </w:rPr>
              <w:t>1.</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lang w:val="en-US"/>
              </w:rPr>
            </w:pPr>
            <w:r>
              <w:rPr>
                <w:rFonts w:eastAsia="Lucida Sans Unicode" w:cs="Times New Roman"/>
                <w:kern w:val="2"/>
                <w:sz w:val="22"/>
                <w:szCs w:val="22"/>
              </w:rPr>
              <w:t>Stotelių skaičius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Times New Roman" w:cs="Times New Roman"/>
              </w:rPr>
              <w:t>2</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sz w:val="22"/>
                <w:szCs w:val="22"/>
              </w:rPr>
            </w:pPr>
            <w:r>
              <w:rPr>
                <w:rFonts w:eastAsia="Lucida Sans Unicode" w:cs="Times New Roman"/>
                <w:kern w:val="2"/>
                <w:sz w:val="22"/>
                <w:szCs w:val="22"/>
              </w:rPr>
              <w:t>1.1</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sz w:val="22"/>
                <w:szCs w:val="22"/>
                <w:highlight w:val="yellow"/>
              </w:rPr>
            </w:pPr>
            <w:r>
              <w:rPr>
                <w:rFonts w:eastAsia="Lucida Sans Unicode" w:cs="Times New Roman"/>
                <w:kern w:val="2"/>
                <w:sz w:val="22"/>
                <w:szCs w:val="22"/>
              </w:rPr>
              <w:t>iš jų viena įkrovimo stotelė bus viešo naudojimo.</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t>Stotelė turi atitikti reikalavimus, kad galėtų būti įregistruota į Viešųjų ir pusiau viešųjų elektromobilių įkrovimo prieigų informacinę sistemą. Registracijai reikalingas užduotis atlieka ir jas apmoka Pirkėjas.</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sz w:val="22"/>
                <w:szCs w:val="22"/>
              </w:rPr>
              <w:t>2.</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Būtinas Jungčių (krovimo prieigų/jungčių) skaičius stotelėje.</w:t>
            </w:r>
          </w:p>
          <w:p w:rsidR="0027093B" w:rsidRDefault="008F7A4A">
            <w:pPr>
              <w:widowControl w:val="0"/>
              <w:spacing w:after="0" w:line="240" w:lineRule="auto"/>
              <w:jc w:val="both"/>
              <w:textAlignment w:val="baseline"/>
              <w:rPr>
                <w:rFonts w:eastAsia="Times New Roman" w:cs="Times New Roman"/>
              </w:rPr>
            </w:pPr>
            <w:r>
              <w:rPr>
                <w:rFonts w:eastAsia="Times New Roman" w:cs="Times New Roman"/>
              </w:rPr>
              <w:t>Tiekėjas gali siūlyti produktą su didesniu Jungčių skaičiumi nei būtinas rodiklis, tačiau stotelės turi būti pilnai sukomplektuotos ir veikiančios. Tuomet didesniam įkrovų prieigos skaičiui, vertinant pagal naudingumo kriterijus, suteikiami papildomi balai:</w:t>
            </w:r>
          </w:p>
          <w:p w:rsidR="0027093B" w:rsidRDefault="008F7A4A">
            <w:pPr>
              <w:widowControl w:val="0"/>
              <w:spacing w:after="0" w:line="240" w:lineRule="auto"/>
              <w:jc w:val="both"/>
              <w:textAlignment w:val="baseline"/>
              <w:rPr>
                <w:rFonts w:eastAsia="Times New Roman" w:cs="Times New Roman"/>
              </w:rPr>
            </w:pPr>
            <w:r>
              <w:rPr>
                <w:rFonts w:eastAsia="Times New Roman" w:cs="Times New Roman"/>
              </w:rPr>
              <w:t>Y1</w:t>
            </w:r>
            <w:r>
              <w:rPr>
                <w:rFonts w:eastAsia="Times New Roman" w:cs="Times New Roman"/>
                <w:lang w:val="en-US"/>
              </w:rPr>
              <w:t>=</w:t>
            </w:r>
            <w:r>
              <w:rPr>
                <w:rFonts w:eastAsia="Times New Roman" w:cs="Times New Roman"/>
              </w:rPr>
              <w:t>0  (jei dvi prieigos)</w:t>
            </w:r>
          </w:p>
          <w:p w:rsidR="0027093B" w:rsidRDefault="008F7A4A">
            <w:pPr>
              <w:widowControl w:val="0"/>
              <w:spacing w:after="0" w:line="240" w:lineRule="auto"/>
              <w:jc w:val="both"/>
              <w:textAlignment w:val="baseline"/>
              <w:rPr>
                <w:rFonts w:eastAsia="Times New Roman" w:cs="Times New Roman"/>
              </w:rPr>
            </w:pPr>
            <w:r>
              <w:rPr>
                <w:rFonts w:eastAsia="Times New Roman" w:cs="Times New Roman"/>
              </w:rPr>
              <w:t xml:space="preserve"> Y1=10 (jei trys ar daugiau)</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Times New Roman" w:cs="Times New Roman"/>
              </w:rPr>
              <w:t>&gt;</w:t>
            </w:r>
            <w:r>
              <w:rPr>
                <w:rFonts w:eastAsia="Times New Roman" w:cs="Times New Roman"/>
                <w:lang w:val="en-US"/>
              </w:rPr>
              <w:t>=</w:t>
            </w:r>
            <w:r>
              <w:rPr>
                <w:rFonts w:eastAsia="Times New Roman" w:cs="Times New Roman"/>
              </w:rPr>
              <w:t>2</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sz w:val="22"/>
                <w:szCs w:val="22"/>
              </w:rPr>
              <w:t>3.</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Jungčių tipas  stotelėje</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Dvi jungtys CCS2 (bei kitos papildomos jei tokios gali būti  jau integruotos ir funkcionuoja siūlomoje įkrovimo stotelėje). Jungčių kiekis ne mažiau kaip dvi jungtys.</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sz w:val="22"/>
                <w:szCs w:val="22"/>
              </w:rPr>
              <w:t>4.</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Įkrovimo stotelės turi būti įrengtos atskirai ir dirbti autonomiškai viena nuo kitos. Galios balansavimo sistema/kontroleris taip pat dirba autonomiškai bendrame su stotelėmis lokaliame tinkle. Balansavimas naudojant tik debesijos paslaugas nėra galimas (tai gali būti tik kaip papildomas išplėstinis funkcionalumas)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sz w:val="22"/>
                <w:szCs w:val="22"/>
              </w:rPr>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sz w:val="22"/>
                <w:szCs w:val="22"/>
              </w:rPr>
              <w:t>5.</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 xml:space="preserve">Visos įkrovimo prieigos turi veikti vienu metu su lokaliu dinaminiu </w:t>
            </w:r>
            <w:r>
              <w:rPr>
                <w:rFonts w:eastAsia="Lucida Sans Unicode" w:cs="Times New Roman"/>
                <w:kern w:val="2"/>
              </w:rPr>
              <w:lastRenderedPageBreak/>
              <w:t>galios skirstymu tarp atskirų stotelių ir jų jungčių, atsižvelgiant į transporto priemonės galimybę priimti įkrovimo galią bei atsižvelgiant į maksimalią 120kW kol kas instaliuotą objekte galią</w:t>
            </w:r>
            <w:r>
              <w:rPr>
                <w:rFonts w:eastAsia="Lucida Sans Unicode" w:cs="Times New Roman"/>
                <w:kern w:val="2"/>
                <w:sz w:val="22"/>
                <w:szCs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sz w:val="22"/>
                <w:szCs w:val="22"/>
              </w:rPr>
              <w:lastRenderedPageBreak/>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sz w:val="22"/>
                <w:szCs w:val="22"/>
              </w:rPr>
              <w:t>6.</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Maksimalią stotelių įkrovimo galią galima apriboti programiškai lokaliai ir/ar nuotoliniu būdu.</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555"/>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sz w:val="22"/>
                <w:szCs w:val="22"/>
              </w:rPr>
              <w:t>7.</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Minimali Įkrovimo galia, kurią privalo užtikrinti viena stotelė.</w:t>
            </w:r>
          </w:p>
          <w:p w:rsidR="0027093B" w:rsidRDefault="008F7A4A">
            <w:pPr>
              <w:widowControl w:val="0"/>
              <w:spacing w:after="0" w:line="240" w:lineRule="auto"/>
              <w:jc w:val="both"/>
              <w:textAlignment w:val="baseline"/>
              <w:rPr>
                <w:rFonts w:eastAsia="Times New Roman" w:cs="Times New Roman"/>
              </w:rPr>
            </w:pPr>
            <w:r>
              <w:rPr>
                <w:rFonts w:eastAsia="Times New Roman" w:cs="Times New Roman"/>
              </w:rPr>
              <w:t>Svarbu: jei tiekėjas siūlo produktą su didesne išėjimo galia, tai galutiniu pasiūlymo vertinimu jai yra suteikiami papildomi naudingumo balai priklausantys nuo tiekiamos stotelės suminės įkrovimo galios:</w:t>
            </w:r>
          </w:p>
          <w:p w:rsidR="0027093B" w:rsidRDefault="008F7A4A">
            <w:pPr>
              <w:widowControl w:val="0"/>
              <w:spacing w:after="0" w:line="240" w:lineRule="auto"/>
              <w:textAlignment w:val="baseline"/>
              <w:rPr>
                <w:rFonts w:eastAsia="Lucida Sans Unicode" w:cs="Times New Roman"/>
                <w:kern w:val="2"/>
              </w:rPr>
            </w:pPr>
            <w:r>
              <w:rPr>
                <w:rFonts w:eastAsia="Lucida Sans Unicode" w:cs="Times New Roman"/>
                <w:kern w:val="2"/>
              </w:rPr>
              <w:t>&gt;=80kW – Y2</w:t>
            </w:r>
            <w:r>
              <w:rPr>
                <w:rFonts w:eastAsia="Times New Roman" w:cs="Times New Roman"/>
              </w:rPr>
              <w:t>= 0 balų.</w:t>
            </w:r>
          </w:p>
          <w:p w:rsidR="0027093B" w:rsidRDefault="008F7A4A">
            <w:pPr>
              <w:widowControl w:val="0"/>
              <w:spacing w:after="0" w:line="240" w:lineRule="auto"/>
              <w:jc w:val="both"/>
              <w:textAlignment w:val="baseline"/>
              <w:rPr>
                <w:rFonts w:eastAsia="Times New Roman" w:cs="Times New Roman"/>
              </w:rPr>
            </w:pPr>
            <w:r>
              <w:rPr>
                <w:rFonts w:eastAsia="Times New Roman" w:cs="Times New Roman"/>
              </w:rPr>
              <w:t>&gt;</w:t>
            </w:r>
            <w:r>
              <w:rPr>
                <w:rFonts w:eastAsia="Times New Roman" w:cs="Times New Roman"/>
                <w:lang w:val="pl-PL"/>
              </w:rPr>
              <w:t>=</w:t>
            </w:r>
            <w:r>
              <w:rPr>
                <w:rFonts w:eastAsia="Times New Roman" w:cs="Times New Roman"/>
              </w:rPr>
              <w:t>100kW-  Y2=10 balai</w:t>
            </w:r>
          </w:p>
          <w:p w:rsidR="0027093B" w:rsidRDefault="008F7A4A">
            <w:pPr>
              <w:widowControl w:val="0"/>
              <w:spacing w:after="0" w:line="240" w:lineRule="auto"/>
              <w:jc w:val="both"/>
              <w:textAlignment w:val="baseline"/>
              <w:rPr>
                <w:rFonts w:eastAsia="Times New Roman" w:cs="Times New Roman"/>
              </w:rPr>
            </w:pPr>
            <w:r>
              <w:rPr>
                <w:rFonts w:eastAsia="Times New Roman" w:cs="Times New Roman"/>
              </w:rPr>
              <w:t>&gt;=140kW- Y2=20 balų</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textAlignment w:val="baseline"/>
              <w:rPr>
                <w:rFonts w:eastAsia="Lucida Sans Unicode" w:cs="Times New Roman"/>
                <w:kern w:val="2"/>
                <w:sz w:val="22"/>
                <w:szCs w:val="22"/>
                <w:lang w:val="en-US"/>
              </w:rPr>
            </w:pPr>
            <w:r>
              <w:rPr>
                <w:rFonts w:eastAsia="Lucida Sans Unicode" w:cs="Times New Roman"/>
                <w:kern w:val="2"/>
                <w:sz w:val="22"/>
                <w:szCs w:val="22"/>
              </w:rPr>
              <w:t>Pilna įkrovimo galia visomis jungtimis vienu metu &gt;=80kW.</w:t>
            </w:r>
          </w:p>
          <w:p w:rsidR="0027093B" w:rsidRDefault="0027093B">
            <w:pPr>
              <w:widowControl w:val="0"/>
              <w:spacing w:after="0" w:line="240" w:lineRule="auto"/>
              <w:textAlignment w:val="baseline"/>
              <w:rPr>
                <w:rFonts w:eastAsia="Lucida Sans Unicode" w:cs="Times New Roman"/>
                <w:kern w:val="2"/>
                <w:sz w:val="22"/>
                <w:szCs w:val="22"/>
              </w:rPr>
            </w:pPr>
          </w:p>
          <w:p w:rsidR="0027093B" w:rsidRDefault="0027093B">
            <w:pPr>
              <w:widowControl w:val="0"/>
              <w:spacing w:after="0" w:line="240" w:lineRule="auto"/>
              <w:textAlignment w:val="baseline"/>
              <w:rPr>
                <w:rFonts w:eastAsia="Times New Roman" w:cs="Times New Roman"/>
              </w:rPr>
            </w:pP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8.</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Integruotų krovimo įkrovimo kabelių ilgis CCS2 tipo jungtims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color w:val="000000"/>
                <w:kern w:val="2"/>
              </w:rPr>
              <w:t xml:space="preserve"> N</w:t>
            </w:r>
            <w:r>
              <w:rPr>
                <w:rFonts w:eastAsia="Lucida Sans Unicode" w:cs="Times New Roman"/>
                <w:kern w:val="2"/>
              </w:rPr>
              <w:t>e mažiau 5,75 m</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9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9.</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Tiekiamos stotelės būti su įkrovimo kabelių prilaikymo sistema, užtikrinančia, kad kabelis įkrovimo metu nesiektų žemės arba privalo turėti papildomą integruotą įkrovimo kabelio apsaugą nuo jo izoliacijos pažeidimo dėl kabelio trinties į gruntą.</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10.</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Darbinė stotelės temperatūra</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textAlignment w:val="baseline"/>
            </w:pPr>
            <w:r>
              <w:rPr>
                <w:rFonts w:eastAsia="Lucida Sans Unicode" w:cs="Times New Roman"/>
                <w:kern w:val="2"/>
              </w:rPr>
              <w:t>Ne mažiau kaip                 nuo −25 iki +50 °C</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11.</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Darbinė stotelės drėgmė</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 95%</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lang w:val="en-US"/>
              </w:rPr>
            </w:pPr>
          </w:p>
        </w:tc>
      </w:tr>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12.</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Išėjimo/krovimo įtampos diapazonas, kuri turi užtikrinti įranga</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rsidP="008F7A4A">
            <w:pPr>
              <w:widowControl w:val="0"/>
              <w:spacing w:after="0" w:line="240" w:lineRule="auto"/>
              <w:jc w:val="both"/>
              <w:textAlignment w:val="baseline"/>
              <w:rPr>
                <w:rFonts w:eastAsia="Times New Roman" w:cs="Times New Roman"/>
              </w:rPr>
            </w:pPr>
            <w:r>
              <w:rPr>
                <w:rFonts w:eastAsia="Lucida Sans Unicode" w:cs="Times New Roman"/>
                <w:kern w:val="2"/>
              </w:rPr>
              <w:t>Ne mažiau kaip 150 ne daugiau 1000 V</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13.</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A34B70" w:rsidP="00A34B70">
            <w:pPr>
              <w:widowControl w:val="0"/>
              <w:spacing w:after="0" w:line="240" w:lineRule="auto"/>
              <w:jc w:val="both"/>
              <w:textAlignment w:val="baseline"/>
              <w:rPr>
                <w:rFonts w:eastAsia="Lucida Sans Unicode" w:cs="Times New Roman"/>
                <w:kern w:val="2"/>
              </w:rPr>
            </w:pPr>
            <w:r>
              <w:rPr>
                <w:rFonts w:eastAsia="Lucida Sans Unicode" w:cs="Times New Roman"/>
                <w:kern w:val="2"/>
              </w:rPr>
              <w:t>Korpusas</w:t>
            </w:r>
            <w:r w:rsidR="008F7A4A">
              <w:rPr>
                <w:rFonts w:eastAsia="Lucida Sans Unicode" w:cs="Times New Roman"/>
                <w:kern w:val="2"/>
              </w:rPr>
              <w:t xml:space="preserve"> </w:t>
            </w:r>
            <w:r>
              <w:rPr>
                <w:rFonts w:eastAsia="Lucida Sans Unicode" w:cs="Times New Roman"/>
                <w:kern w:val="2"/>
              </w:rPr>
              <w:t xml:space="preserve">turi būti </w:t>
            </w:r>
            <w:r w:rsidR="008F7A4A">
              <w:rPr>
                <w:rFonts w:eastAsia="Lucida Sans Unicode" w:cs="Times New Roman"/>
                <w:kern w:val="2"/>
              </w:rPr>
              <w:t>atsparu</w:t>
            </w:r>
            <w:r>
              <w:rPr>
                <w:rFonts w:eastAsia="Lucida Sans Unicode" w:cs="Times New Roman"/>
                <w:kern w:val="2"/>
              </w:rPr>
              <w:t>s drėgmei, korpusas</w:t>
            </w:r>
            <w:r w:rsidR="008F7A4A">
              <w:rPr>
                <w:rFonts w:eastAsia="Lucida Sans Unicode" w:cs="Times New Roman"/>
                <w:kern w:val="2"/>
              </w:rPr>
              <w:t xml:space="preserve"> ir  d</w:t>
            </w:r>
            <w:r w:rsidR="008F7A4A">
              <w:rPr>
                <w:rFonts w:eastAsia="Times New Roman" w:cs="Times New Roman"/>
              </w:rPr>
              <w:t>isplėjus</w:t>
            </w:r>
            <w:r>
              <w:rPr>
                <w:rFonts w:eastAsia="Times New Roman" w:cs="Times New Roman"/>
              </w:rPr>
              <w:t xml:space="preserve"> atsparus</w:t>
            </w:r>
            <w:r w:rsidR="008F7A4A">
              <w:rPr>
                <w:rFonts w:eastAsia="Times New Roman" w:cs="Times New Roman"/>
              </w:rPr>
              <w:t xml:space="preserve"> </w:t>
            </w:r>
            <w:r>
              <w:rPr>
                <w:rFonts w:eastAsia="Lucida Sans Unicode" w:cs="Times New Roman"/>
                <w:kern w:val="2"/>
              </w:rPr>
              <w:t>mechaniniams</w:t>
            </w:r>
            <w:r w:rsidR="008F7A4A">
              <w:rPr>
                <w:rFonts w:eastAsia="Times New Roman" w:cs="Times New Roman"/>
              </w:rPr>
              <w:t xml:space="preserve"> </w:t>
            </w:r>
            <w:r>
              <w:rPr>
                <w:rFonts w:eastAsia="Times New Roman" w:cs="Times New Roman"/>
              </w:rPr>
              <w:t>pažeidimams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A34B70">
            <w:pPr>
              <w:widowControl w:val="0"/>
              <w:spacing w:after="0" w:line="240" w:lineRule="auto"/>
              <w:jc w:val="both"/>
              <w:textAlignment w:val="baseline"/>
              <w:rPr>
                <w:rFonts w:eastAsia="Times New Roman" w:cs="Times New Roman"/>
              </w:rPr>
            </w:pPr>
            <w:r>
              <w:rPr>
                <w:rFonts w:eastAsia="Times New Roman" w:cs="Times New Roman"/>
              </w:rPr>
              <w:t xml:space="preserve">Taip </w:t>
            </w:r>
            <w:bookmarkStart w:id="1" w:name="_GoBack"/>
            <w:bookmarkEnd w:id="1"/>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14.</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textAlignment w:val="baseline"/>
              <w:rPr>
                <w:rFonts w:eastAsia="Times New Roman" w:cs="Times New Roman"/>
              </w:rPr>
            </w:pPr>
            <w:r>
              <w:rPr>
                <w:rFonts w:eastAsia="Lucida Sans Unicode" w:cs="Times New Roman"/>
                <w:kern w:val="2"/>
              </w:rPr>
              <w:t>Komunikacijos protokolas komercializuojant įkrovimo prieigą/as.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Ne žemesnis nei OCPP 1.6J</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val="restart"/>
            <w:tcBorders>
              <w:top w:val="single" w:sz="4" w:space="0" w:color="000000"/>
              <w:left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15.</w:t>
            </w:r>
          </w:p>
          <w:p w:rsidR="0027093B" w:rsidRDefault="0027093B">
            <w:pPr>
              <w:widowControl w:val="0"/>
              <w:spacing w:after="0" w:line="240" w:lineRule="auto"/>
              <w:jc w:val="both"/>
              <w:textAlignment w:val="baseline"/>
              <w:rPr>
                <w:rFonts w:eastAsia="Times New Roman" w:cs="Times New Roman"/>
              </w:rPr>
            </w:pPr>
          </w:p>
        </w:tc>
        <w:tc>
          <w:tcPr>
            <w:tcW w:w="38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Autentifikacija įkrovimo sesijai pradėti</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RFID</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Times New Roman" w:cs="Times New Roman"/>
              </w:rPr>
            </w:pPr>
          </w:p>
        </w:tc>
        <w:tc>
          <w:tcPr>
            <w:tcW w:w="3869" w:type="dxa"/>
            <w:vMerge/>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textAlignment w:val="baseline"/>
              <w:rPr>
                <w:rFonts w:eastAsia="Lucida Sans Unicode" w:cs="Times New Roman"/>
                <w:kern w:val="2"/>
              </w:rPr>
            </w:pPr>
            <w:r>
              <w:rPr>
                <w:rFonts w:eastAsia="Lucida Sans Unicode" w:cs="Times New Roman"/>
                <w:kern w:val="2"/>
              </w:rPr>
              <w:t>Mobiliomis ryšio priemonėmis nuotoliu per administravimo platformą</w:t>
            </w:r>
          </w:p>
          <w:p w:rsidR="0027093B" w:rsidRDefault="0027093B">
            <w:pPr>
              <w:widowControl w:val="0"/>
              <w:spacing w:after="0" w:line="240" w:lineRule="auto"/>
              <w:jc w:val="both"/>
              <w:textAlignment w:val="baseline"/>
              <w:rPr>
                <w:rFonts w:eastAsia="Times New Roman" w:cs="Times New Roman"/>
              </w:rPr>
            </w:pP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16.</w:t>
            </w:r>
          </w:p>
        </w:tc>
        <w:tc>
          <w:tcPr>
            <w:tcW w:w="38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Stotelės ryšio galimybės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 xml:space="preserve">WiFi 802.11 b/g/n (2.4/5 </w:t>
            </w:r>
            <w:r>
              <w:rPr>
                <w:rFonts w:eastAsia="Lucida Sans Unicode" w:cs="Times New Roman"/>
                <w:kern w:val="2"/>
              </w:rPr>
              <w:lastRenderedPageBreak/>
              <w:t>GHz)</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3869" w:type="dxa"/>
            <w:vMerge/>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4G LTE ar analogiškas suderinamas.</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tcBorders>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3869" w:type="dxa"/>
            <w:vMerge/>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Ethernet</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17.</w:t>
            </w:r>
          </w:p>
        </w:tc>
        <w:tc>
          <w:tcPr>
            <w:tcW w:w="38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Turi būti apsauga nuo</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textAlignment w:val="baseline"/>
              <w:rPr>
                <w:rFonts w:eastAsia="Times New Roman" w:cs="Times New Roman"/>
              </w:rPr>
            </w:pPr>
            <w:r>
              <w:rPr>
                <w:rFonts w:eastAsia="Lucida Sans Unicode" w:cs="Times New Roman"/>
                <w:kern w:val="2"/>
              </w:rPr>
              <w:t>Per aukšta / per žema įtampa</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3869" w:type="dxa"/>
            <w:vMerge/>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Trumpasis jungimas</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3869" w:type="dxa"/>
            <w:vMerge/>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Įtampos šuoliai</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3869" w:type="dxa"/>
            <w:vMerge/>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Srovės nuotėkis</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tcBorders>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3869" w:type="dxa"/>
            <w:vMerge/>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Perkrovos/perkaitimo</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val="restart"/>
            <w:tcBorders>
              <w:top w:val="single" w:sz="4" w:space="0" w:color="000000"/>
              <w:left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18.</w:t>
            </w:r>
          </w:p>
        </w:tc>
        <w:tc>
          <w:tcPr>
            <w:tcW w:w="3869" w:type="dxa"/>
            <w:vMerge w:val="restart"/>
            <w:tcBorders>
              <w:top w:val="single" w:sz="4" w:space="0" w:color="000000"/>
              <w:left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Programinė įranga turi užtikrinti šiuos lokalius ir nuotolinius funkcionalumus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strike/>
              </w:rPr>
            </w:pPr>
            <w:r>
              <w:rPr>
                <w:rFonts w:eastAsia="Lucida Sans Unicode" w:cs="Times New Roman"/>
                <w:kern w:val="2"/>
              </w:rPr>
              <w:t>Krovimo prieigų sąrašas, stotelės būklės sekimas</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strike/>
                <w:kern w:val="2"/>
              </w:rPr>
            </w:pPr>
          </w:p>
        </w:tc>
      </w:tr>
      <w:tr w:rsidR="0027093B">
        <w:trPr>
          <w:trHeight w:val="300"/>
        </w:trPr>
        <w:tc>
          <w:tcPr>
            <w:tcW w:w="635"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3869"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textAlignment w:val="baseline"/>
              <w:rPr>
                <w:rFonts w:eastAsia="Times New Roman" w:cs="Times New Roman"/>
              </w:rPr>
            </w:pPr>
            <w:r>
              <w:rPr>
                <w:rFonts w:eastAsia="Lucida Sans Unicode" w:cs="Times New Roman"/>
                <w:kern w:val="2"/>
              </w:rPr>
              <w:t>Įkrovimo sesijų detalizacija su įkrautos energijos apskaita</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3869"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Automatinis optimizuotas įkrovimas pagal nustatytus autobusų išvykimo grafikus optimizuojant krovimo galingumą pagal NordPool kainas (Papildomai derinama su Pirkėju).</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3869"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Galios ribojimų nustatymai</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300"/>
        </w:trPr>
        <w:tc>
          <w:tcPr>
            <w:tcW w:w="635"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3869"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Times New Roman" w:cs="Times New Roman"/>
              </w:rPr>
            </w:pPr>
            <w:r>
              <w:rPr>
                <w:rFonts w:eastAsia="Lucida Sans Unicode" w:cs="Times New Roman"/>
                <w:kern w:val="2"/>
              </w:rPr>
              <w:t>Nuotolinė diagnostika</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1329"/>
        </w:trPr>
        <w:tc>
          <w:tcPr>
            <w:tcW w:w="635"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3869" w:type="dxa"/>
            <w:vMerge/>
            <w:tcBorders>
              <w:left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textAlignment w:val="baseline"/>
              <w:rPr>
                <w:rFonts w:eastAsia="Lucida Sans Unicode" w:cs="Times New Roman"/>
                <w:kern w:val="2"/>
              </w:rPr>
            </w:pPr>
            <w:r>
              <w:rPr>
                <w:rFonts w:eastAsia="Lucida Sans Unicode" w:cs="Times New Roman"/>
                <w:kern w:val="2"/>
              </w:rPr>
              <w:t>Privalomas įkrovimo galių balansavimas  tarp stotelių ir jų jungčių bei Pirkėjo galios įvado galimybių, naudojant lokalią neatsiejamą nuo stotelių aparatinę/programinę įrangą.</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bookmarkStart w:id="2" w:name="_Hlk167715622"/>
            <w:bookmarkStart w:id="3" w:name="_Hlk161394600"/>
            <w:bookmarkEnd w:id="2"/>
            <w:bookmarkEnd w:id="3"/>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18.1</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Vieša įkrovimo stotelė turi turėti šiuos funkcionalumus:</w:t>
            </w:r>
          </w:p>
          <w:p w:rsidR="0027093B" w:rsidRDefault="0027093B">
            <w:pPr>
              <w:widowControl w:val="0"/>
              <w:spacing w:after="0" w:line="240" w:lineRule="auto"/>
              <w:jc w:val="both"/>
              <w:textAlignment w:val="baseline"/>
              <w:rPr>
                <w:rFonts w:eastAsia="Lucida Sans Unicode" w:cs="Times New Roman"/>
                <w:kern w:val="2"/>
                <w:highlight w:val="yellow"/>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Turi būti sudarytos sąlygos elektromobilį įkrauti neturint tiesioginės sutarties su elektros energijos tiekėju ir (ar) elektromobilių įkrovimo prieigos operatoriumi, sudarant galimybę už elektromobilio įkrovimo paslaugą atsiskaityti vietoje (ad-hoc), neturint išankstinių specialių identifikacinių kortelių ar kitų priemonių.</w:t>
            </w:r>
          </w:p>
          <w:p w:rsidR="0027093B" w:rsidRDefault="008F7A4A">
            <w:pPr>
              <w:rPr>
                <w:rFonts w:eastAsia="Lucida Sans Unicode" w:cs="Times New Roman"/>
                <w:kern w:val="2"/>
              </w:rPr>
            </w:pPr>
            <w:r>
              <w:rPr>
                <w:rFonts w:eastAsia="Lucida Sans Unicode" w:cs="Times New Roman"/>
                <w:kern w:val="2"/>
              </w:rPr>
              <w:t xml:space="preserve">Įkrovimo stotelė turi turėti </w:t>
            </w:r>
            <w:r>
              <w:rPr>
                <w:rFonts w:eastAsia="Lucida Sans Unicode" w:cs="Times New Roman"/>
                <w:kern w:val="2"/>
              </w:rPr>
              <w:lastRenderedPageBreak/>
              <w:t>i</w:t>
            </w:r>
            <w:r>
              <w:t xml:space="preserve">ntegruotą bankinių kortelių skaitytuvą, tinkamą atsiskaitymams Lietuvoje arba per  įkrovimo monetizavimo platformą, kuri </w:t>
            </w:r>
            <w:r>
              <w:rPr>
                <w:rFonts w:eastAsia="Times New Roman" w:cs="Times New Roman"/>
                <w:lang w:eastAsia="lt-LT"/>
              </w:rPr>
              <w:t xml:space="preserve">veikia per RFID korteles, mokėjimo korteles, barkodų mokėjimo nuorodas. Sąskaitų gavimas ir įkrovimo analizė. Įkrovimo statistika. </w:t>
            </w:r>
            <w:r>
              <w:rPr>
                <w:rFonts w:cs="Times New Roman"/>
              </w:rPr>
              <w:t>Kortelių skaitytuvas gali būti įrengtas kaip atskiras įrenginys šalia stotelės arba ant stotelės.</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19.</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Garantinis laikotarpis patiektai ir sumontuotai įrangai</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36 mėn.</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20.</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Tiekėjas privalo užtikrinti kritinių dalių (kai įkrovimo kabelis ar jo jungtis neveikia arba stotelės funkcionalumas sumažėja daugiau nei 50 proc.) pakeitimą per 24 val.</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21.</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Kitų dalių ar komponentų tiekimas ne ilgiau kaip per 14 kalendorinių dienų</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22.</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Stotelė turi turėti valdymą vykdomą lietimui jautriu ekranu arba tam skirtais "antivandaliniais" mygtukais su laisvai prieinamu krovimo srovės avarinio išjungimo mygtuku</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23.</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Programinė įkrovimo įranga privalo būti lietuvių kalba, turėti vartotojo identifikaciją bei atskirą prieigą administravimui.</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24.</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Įranga turi būti sumontuota ant betoninio pagrindo ir atskirta apsauginiais stulpeliais ar kitomis suderintomis priemonėmis.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25.</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Sistema privalo</w:t>
            </w:r>
            <w:r>
              <w:rPr>
                <w:rFonts w:eastAsia="Lucida Sans Unicode" w:cs="Times New Roman"/>
                <w:color w:val="FF0000"/>
                <w:kern w:val="2"/>
              </w:rPr>
              <w:t xml:space="preserve"> </w:t>
            </w:r>
            <w:r>
              <w:rPr>
                <w:rFonts w:eastAsia="Lucida Sans Unicode" w:cs="Times New Roman"/>
                <w:kern w:val="2"/>
              </w:rPr>
              <w:t>turėti funkcionalinio išplėtimo galimybę elektros energijos kaupiklio (su arba be saulės elekrinės pajungimo prie jo galimybe) pajungimui į esamą lokalaus galios balansavimo sistemą.</w:t>
            </w:r>
          </w:p>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 xml:space="preserve">Pateikti nuorodą į bent vieną  jau realiai veikiančią tokią šio pardavėjo </w:t>
            </w:r>
            <w:r>
              <w:rPr>
                <w:rFonts w:eastAsia="Lucida Sans Unicode" w:cs="Times New Roman"/>
                <w:kern w:val="2"/>
              </w:rPr>
              <w:lastRenderedPageBreak/>
              <w:t>sistemą.</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lastRenderedPageBreak/>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26.</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Kištukai turi atitikti matmenų suderinamumo ir sukeičiamumo reikalavimus, keliamus tikslinėms nuolatinės srovės, kombinuotoms kintamosios ir nuolatinės srovės kaištinėms bei kontaktinėms vamzdinėms transporto priemonių jungtims (IEC 62196-3:2014)“ nustatytus reikalavimus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sz w:val="22"/>
                <w:szCs w:val="22"/>
              </w:rPr>
            </w:pPr>
            <w:r>
              <w:rPr>
                <w:rFonts w:eastAsia="Lucida Sans Unicode" w:cs="Times New Roman"/>
                <w:kern w:val="2"/>
                <w:sz w:val="22"/>
                <w:szCs w:val="22"/>
              </w:rPr>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27.</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Tiekėjas privalo teikti klientų pagalbos aptarnavimo paslaugą lietuvių kalba</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28.</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Tiekėjas turi pristatyti, sumontuoti įrangą pirkėjo nurodytoje vietoje ir visos išlaidos turi būti įskaičiuotos į įrangos kainą.</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Taip</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29.</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Įrangos sumontavimas ir perdavimas eksploatuoti</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ne ilgiau kaip 4 mėnesiai po sutarties pasirašymo</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30.</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Garantinis priežiūros terminas ir tiekėjo sąskaita teikiamas periodinis aptarnavimas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ne mažiau kaip 36 mėn.</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r w:rsidR="0027093B">
        <w:trPr>
          <w:trHeight w:val="600"/>
        </w:trPr>
        <w:tc>
          <w:tcPr>
            <w:tcW w:w="635"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31.</w:t>
            </w:r>
          </w:p>
        </w:tc>
        <w:tc>
          <w:tcPr>
            <w:tcW w:w="3869"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Nemokamas Programinės įrangos palaikymas ir atnaujinimas.</w:t>
            </w:r>
          </w:p>
        </w:tc>
        <w:tc>
          <w:tcPr>
            <w:tcW w:w="2966"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8F7A4A">
            <w:pPr>
              <w:widowControl w:val="0"/>
              <w:spacing w:after="0" w:line="240" w:lineRule="auto"/>
              <w:jc w:val="both"/>
              <w:textAlignment w:val="baseline"/>
              <w:rPr>
                <w:rFonts w:eastAsia="Lucida Sans Unicode" w:cs="Times New Roman"/>
                <w:kern w:val="2"/>
              </w:rPr>
            </w:pPr>
            <w:r>
              <w:rPr>
                <w:rFonts w:eastAsia="Lucida Sans Unicode" w:cs="Times New Roman"/>
                <w:kern w:val="2"/>
              </w:rPr>
              <w:t>ne mažiau kaip 36 mėn.</w:t>
            </w:r>
          </w:p>
        </w:tc>
        <w:tc>
          <w:tcPr>
            <w:tcW w:w="2744" w:type="dxa"/>
            <w:tcBorders>
              <w:top w:val="single" w:sz="4" w:space="0" w:color="000000"/>
              <w:left w:val="single" w:sz="4" w:space="0" w:color="000000"/>
              <w:bottom w:val="single" w:sz="4" w:space="0" w:color="000000"/>
              <w:right w:val="single" w:sz="4" w:space="0" w:color="000000"/>
            </w:tcBorders>
            <w:shd w:val="clear" w:color="auto" w:fill="auto"/>
          </w:tcPr>
          <w:p w:rsidR="0027093B" w:rsidRDefault="0027093B">
            <w:pPr>
              <w:widowControl w:val="0"/>
              <w:spacing w:after="0" w:line="240" w:lineRule="auto"/>
              <w:jc w:val="both"/>
              <w:textAlignment w:val="baseline"/>
              <w:rPr>
                <w:rFonts w:eastAsia="Lucida Sans Unicode" w:cs="Times New Roman"/>
                <w:kern w:val="2"/>
              </w:rPr>
            </w:pPr>
          </w:p>
        </w:tc>
      </w:tr>
    </w:tbl>
    <w:p w:rsidR="0027093B" w:rsidRDefault="0027093B">
      <w:pPr>
        <w:widowControl w:val="0"/>
        <w:spacing w:after="0" w:line="240" w:lineRule="auto"/>
        <w:jc w:val="both"/>
        <w:textAlignment w:val="baseline"/>
        <w:rPr>
          <w:rFonts w:eastAsia="Lucida Sans Unicode" w:cs="Times New Roman"/>
          <w:b/>
          <w:bCs/>
          <w:kern w:val="2"/>
        </w:rPr>
      </w:pPr>
    </w:p>
    <w:p w:rsidR="0027093B" w:rsidRDefault="0027093B">
      <w:pPr>
        <w:widowControl w:val="0"/>
        <w:spacing w:after="0" w:line="240" w:lineRule="auto"/>
        <w:jc w:val="both"/>
        <w:textAlignment w:val="baseline"/>
        <w:rPr>
          <w:rFonts w:eastAsia="Lucida Sans Unicode" w:cs="Times New Roman"/>
          <w:b/>
          <w:bCs/>
          <w:kern w:val="2"/>
        </w:rPr>
      </w:pPr>
    </w:p>
    <w:p w:rsidR="0027093B" w:rsidRDefault="008F7A4A">
      <w:pPr>
        <w:widowControl w:val="0"/>
        <w:spacing w:after="0" w:line="240" w:lineRule="auto"/>
        <w:jc w:val="both"/>
        <w:textAlignment w:val="baseline"/>
        <w:rPr>
          <w:rFonts w:eastAsia="Lucida Sans Unicode" w:cs="Times New Roman"/>
          <w:b/>
          <w:bCs/>
          <w:kern w:val="2"/>
        </w:rPr>
      </w:pPr>
      <w:r>
        <w:rPr>
          <w:rFonts w:eastAsia="Lucida Sans Unicode" w:cs="Times New Roman"/>
          <w:b/>
          <w:bCs/>
          <w:kern w:val="2"/>
        </w:rPr>
        <w:t>PASTABOS:</w:t>
      </w:r>
    </w:p>
    <w:p w:rsidR="0027093B" w:rsidRDefault="008F7A4A">
      <w:pPr>
        <w:widowControl w:val="0"/>
        <w:spacing w:after="0" w:line="240" w:lineRule="auto"/>
        <w:ind w:firstLine="425"/>
        <w:jc w:val="both"/>
        <w:textAlignment w:val="baseline"/>
        <w:rPr>
          <w:rFonts w:eastAsia="Lucida Sans Unicode" w:cs="Times New Roman"/>
          <w:kern w:val="2"/>
        </w:rPr>
      </w:pPr>
      <w:r>
        <w:rPr>
          <w:rFonts w:eastAsia="Lucida Sans Unicode" w:cs="Times New Roman"/>
          <w:b/>
          <w:bCs/>
          <w:kern w:val="2"/>
        </w:rPr>
        <w:t xml:space="preserve">- </w:t>
      </w:r>
      <w:r>
        <w:rPr>
          <w:rFonts w:eastAsia="Lucida Sans Unicode" w:cs="Times New Roman"/>
          <w:kern w:val="2"/>
        </w:rPr>
        <w:t xml:space="preserve"> Jeigu specifikacijose nurodytas konkretus modelis ar šaltinis, konkretus procesas ar prekės ženklas, patentas, tipas, konkreti kilmė ar gamyba, technologija, medžiaga gali būti pateikiamas lygiavertis objektas nurodytajam.</w:t>
      </w:r>
    </w:p>
    <w:p w:rsidR="0027093B" w:rsidRDefault="008F7A4A">
      <w:pPr>
        <w:widowControl w:val="0"/>
        <w:spacing w:after="0" w:line="240" w:lineRule="auto"/>
        <w:ind w:firstLine="425"/>
        <w:jc w:val="both"/>
        <w:textAlignment w:val="baseline"/>
        <w:rPr>
          <w:rFonts w:eastAsia="Times New Roman"/>
          <w:lang w:eastAsia="lt-LT"/>
        </w:rPr>
      </w:pPr>
      <w:r>
        <w:rPr>
          <w:rFonts w:eastAsia="Lucida Sans Unicode" w:cs="Times New Roman"/>
          <w:kern w:val="2"/>
        </w:rPr>
        <w:t xml:space="preserve">- Užsakovas prašys parodyti realiai veikiantį analogišką balansavimo sprendimą/įrangą iki sutarties pasirašymo, todėl pardavėjas privalo realiai užtikrinti šį techninį išpildymą. Jei tiekėjas nėra įrengęs analogiško balansavimo sprendinio, jis  turi </w:t>
      </w:r>
      <w:r>
        <w:rPr>
          <w:rFonts w:eastAsia="Times New Roman" w:cs="Times New Roman"/>
          <w:lang w:eastAsia="lt-LT"/>
        </w:rPr>
        <w:t xml:space="preserve"> pateikti laisvos formos deklaracijas jog prie siūlomų įkrovimo stotelių, kurios turi lokalią galios balansavimo sistemą (aparatinę ir programinę lokaliam balansavimui skirtą įrangą vadiname "sistema"), gali būti prijungtas atskirai įsigyjamas suderinamas su stotelėmis kaupiklis (100-200kW inverteris su 100-300kWh baterija), kuris po jo instaliavimo galės iš karto dirbti energijos kaupimo ir balansavimo režimu kartu su stotelėmis ir įvadu, priklausomai nuo įkrovimui reikiamos maksimalios galios. Maksimali įkrovimo galia tokiu atveju turi būti Įvado leistina naudoti galia + Kaupiklio galia.</w:t>
      </w:r>
    </w:p>
    <w:p w:rsidR="0027093B" w:rsidRDefault="008F7A4A">
      <w:pPr>
        <w:spacing w:after="0" w:line="240" w:lineRule="auto"/>
        <w:ind w:firstLine="425"/>
        <w:jc w:val="both"/>
        <w:rPr>
          <w:rFonts w:eastAsia="Times New Roman"/>
          <w:lang w:eastAsia="lt-LT"/>
        </w:rPr>
      </w:pPr>
      <w:r>
        <w:rPr>
          <w:rFonts w:eastAsia="Times New Roman" w:cs="Times New Roman"/>
          <w:lang w:eastAsia="lt-LT"/>
        </w:rPr>
        <w:t>- Visą šią galią stotelės per lokalią galios balansavimo sistemą paskirsto atskiriems įkrovimo kanalams pagal realų įkrovimo poreikį. Tiekėjas taip pat turi pateikti laisvos formos deklaraciją, kad tiekiama stotelė yra suderinama su galimu vėliau pasiūlyti energijos kaupikliu ir ji tinkamai veiks lokaliu dinaminio balansavimo režimu naudojant įvado ir kaupiklio galią/energiją prisiderinant prie reikiamos įkrovimo galios, nesvarbu kiek tuo metu automobilių bus prijungta prie stotelių. Bendras tokios sistemos testavimo laikas papildomai pajungus kaupiklį yra viena savaitė.</w:t>
      </w:r>
    </w:p>
    <w:sectPr w:rsidR="0027093B">
      <w:pgSz w:w="12240" w:h="15840"/>
      <w:pgMar w:top="1134" w:right="1440" w:bottom="1440" w:left="1440"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ptos">
    <w:altName w:val="Times New Roman"/>
    <w:charset w:val="BA"/>
    <w:family w:val="roman"/>
    <w:pitch w:val="variable"/>
  </w:font>
  <w:font w:name="Aptos Display">
    <w:altName w:val="Times New Roman"/>
    <w:charset w:val="BA"/>
    <w:family w:val="roman"/>
    <w:pitch w:val="variable"/>
  </w:font>
  <w:font w:name="Segoe UI">
    <w:panose1 w:val="020B0502040204020203"/>
    <w:charset w:val="BA"/>
    <w:family w:val="swiss"/>
    <w:pitch w:val="variable"/>
    <w:sig w:usb0="E4002EFF" w:usb1="C000E47F" w:usb2="00000009" w:usb3="00000000" w:csb0="000001FF" w:csb1="00000000"/>
  </w:font>
  <w:font w:name="Lucida Sans">
    <w:altName w:val="Times New Roman"/>
    <w:panose1 w:val="00000000000000000000"/>
    <w:charset w:val="00"/>
    <w:family w:val="roman"/>
    <w:notTrueType/>
    <w:pitch w:val="default"/>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autoHyphenation/>
  <w:hyphenationZone w:val="396"/>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93B"/>
    <w:rsid w:val="0027093B"/>
    <w:rsid w:val="008F7A4A"/>
    <w:rsid w:val="00A34B7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950DD8-716C-4C82-A5B6-C536A917F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pacing w:after="160" w:line="259" w:lineRule="auto"/>
    </w:pPr>
    <w:rPr>
      <w:lang w:val="lt-LT"/>
    </w:rPr>
  </w:style>
  <w:style w:type="paragraph" w:styleId="Antrat1">
    <w:name w:val="heading 1"/>
    <w:basedOn w:val="prastasis"/>
    <w:next w:val="prastasis"/>
    <w:link w:val="Antrat1Diagrama"/>
    <w:uiPriority w:val="9"/>
    <w:qFormat/>
    <w:rsid w:val="007076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076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0760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0760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0760C"/>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70760C"/>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0760C"/>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0760C"/>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0760C"/>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70760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qFormat/>
    <w:rsid w:val="0070760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qFormat/>
    <w:rsid w:val="0070760C"/>
    <w:rPr>
      <w:rFonts w:asciiTheme="minorHAnsi" w:eastAsiaTheme="majorEastAsia" w:hAnsiTheme="minorHAnsi"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qFormat/>
    <w:rsid w:val="0070760C"/>
    <w:rPr>
      <w:rFonts w:asciiTheme="minorHAnsi" w:eastAsiaTheme="majorEastAsia" w:hAnsiTheme="minorHAnsi"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qFormat/>
    <w:rsid w:val="0070760C"/>
    <w:rPr>
      <w:rFonts w:asciiTheme="minorHAnsi" w:eastAsiaTheme="majorEastAsia" w:hAnsiTheme="minorHAnsi" w:cstheme="majorBidi"/>
      <w:color w:val="0F4761" w:themeColor="accent1" w:themeShade="BF"/>
      <w:lang w:val="lt-LT"/>
    </w:rPr>
  </w:style>
  <w:style w:type="character" w:customStyle="1" w:styleId="Antrat6Diagrama">
    <w:name w:val="Antraštė 6 Diagrama"/>
    <w:basedOn w:val="Numatytasispastraiposriftas"/>
    <w:link w:val="Antrat6"/>
    <w:uiPriority w:val="9"/>
    <w:semiHidden/>
    <w:qFormat/>
    <w:rsid w:val="0070760C"/>
    <w:rPr>
      <w:rFonts w:asciiTheme="minorHAnsi" w:eastAsiaTheme="majorEastAsia" w:hAnsiTheme="minorHAnsi"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qFormat/>
    <w:rsid w:val="0070760C"/>
    <w:rPr>
      <w:rFonts w:asciiTheme="minorHAnsi" w:eastAsiaTheme="majorEastAsia" w:hAnsiTheme="minorHAnsi" w:cstheme="majorBidi"/>
      <w:color w:val="595959" w:themeColor="text1" w:themeTint="A6"/>
      <w:lang w:val="lt-LT"/>
    </w:rPr>
  </w:style>
  <w:style w:type="character" w:customStyle="1" w:styleId="Antrat8Diagrama">
    <w:name w:val="Antraštė 8 Diagrama"/>
    <w:basedOn w:val="Numatytasispastraiposriftas"/>
    <w:link w:val="Antrat8"/>
    <w:uiPriority w:val="9"/>
    <w:semiHidden/>
    <w:qFormat/>
    <w:rsid w:val="0070760C"/>
    <w:rPr>
      <w:rFonts w:asciiTheme="minorHAnsi" w:eastAsiaTheme="majorEastAsia" w:hAnsiTheme="minorHAnsi"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qFormat/>
    <w:rsid w:val="0070760C"/>
    <w:rPr>
      <w:rFonts w:asciiTheme="minorHAnsi" w:eastAsiaTheme="majorEastAsia" w:hAnsiTheme="minorHAnsi" w:cstheme="majorBidi"/>
      <w:color w:val="272727" w:themeColor="text1" w:themeTint="D8"/>
      <w:lang w:val="lt-LT"/>
    </w:rPr>
  </w:style>
  <w:style w:type="character" w:customStyle="1" w:styleId="PavadinimasDiagrama">
    <w:name w:val="Pavadinimas Diagrama"/>
    <w:basedOn w:val="Numatytasispastraiposriftas"/>
    <w:link w:val="Pavadinimas"/>
    <w:uiPriority w:val="10"/>
    <w:qFormat/>
    <w:rsid w:val="0070760C"/>
    <w:rPr>
      <w:rFonts w:asciiTheme="majorHAnsi" w:eastAsiaTheme="majorEastAsia" w:hAnsiTheme="majorHAnsi" w:cstheme="majorBidi"/>
      <w:spacing w:val="-10"/>
      <w:kern w:val="2"/>
      <w:sz w:val="56"/>
      <w:szCs w:val="56"/>
      <w:lang w:val="lt-LT"/>
    </w:rPr>
  </w:style>
  <w:style w:type="character" w:customStyle="1" w:styleId="PaantratDiagrama">
    <w:name w:val="Paantraštė Diagrama"/>
    <w:basedOn w:val="Numatytasispastraiposriftas"/>
    <w:link w:val="Paantrat"/>
    <w:uiPriority w:val="11"/>
    <w:qFormat/>
    <w:rsid w:val="0070760C"/>
    <w:rPr>
      <w:rFonts w:asciiTheme="minorHAnsi" w:eastAsiaTheme="majorEastAsia" w:hAnsiTheme="minorHAnsi" w:cstheme="majorBidi"/>
      <w:color w:val="595959" w:themeColor="text1" w:themeTint="A6"/>
      <w:spacing w:val="15"/>
      <w:sz w:val="28"/>
      <w:szCs w:val="28"/>
      <w:lang w:val="lt-LT"/>
    </w:rPr>
  </w:style>
  <w:style w:type="character" w:customStyle="1" w:styleId="CitataDiagrama">
    <w:name w:val="Citata Diagrama"/>
    <w:basedOn w:val="Numatytasispastraiposriftas"/>
    <w:link w:val="Citata"/>
    <w:uiPriority w:val="29"/>
    <w:qFormat/>
    <w:rsid w:val="0070760C"/>
    <w:rPr>
      <w:i/>
      <w:iCs/>
      <w:color w:val="404040" w:themeColor="text1" w:themeTint="BF"/>
      <w:lang w:val="lt-LT"/>
    </w:rPr>
  </w:style>
  <w:style w:type="character" w:styleId="Rykuspabraukimas">
    <w:name w:val="Intense Emphasis"/>
    <w:basedOn w:val="Numatytasispastraiposriftas"/>
    <w:uiPriority w:val="21"/>
    <w:qFormat/>
    <w:rsid w:val="0070760C"/>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70760C"/>
    <w:rPr>
      <w:i/>
      <w:iCs/>
      <w:color w:val="0F4761" w:themeColor="accent1" w:themeShade="BF"/>
      <w:lang w:val="lt-LT"/>
    </w:rPr>
  </w:style>
  <w:style w:type="character" w:styleId="Rykinuoroda">
    <w:name w:val="Intense Reference"/>
    <w:basedOn w:val="Numatytasispastraiposriftas"/>
    <w:uiPriority w:val="32"/>
    <w:qFormat/>
    <w:rsid w:val="0070760C"/>
    <w:rPr>
      <w:b/>
      <w:bCs/>
      <w:smallCaps/>
      <w:color w:val="0F4761" w:themeColor="accent1" w:themeShade="BF"/>
      <w:spacing w:val="5"/>
    </w:rPr>
  </w:style>
  <w:style w:type="character" w:customStyle="1" w:styleId="SraopastraipaDiagrama">
    <w:name w:val="Sąrašo pastraipa Diagrama"/>
    <w:link w:val="Sraopastraipa"/>
    <w:uiPriority w:val="34"/>
    <w:qFormat/>
    <w:locked/>
    <w:rsid w:val="004179DB"/>
    <w:rPr>
      <w:lang w:val="lt-LT"/>
    </w:rPr>
  </w:style>
  <w:style w:type="character" w:customStyle="1" w:styleId="DebesliotekstasDiagrama">
    <w:name w:val="Debesėlio tekstas Diagrama"/>
    <w:basedOn w:val="Numatytasispastraiposriftas"/>
    <w:link w:val="Debesliotekstas"/>
    <w:uiPriority w:val="99"/>
    <w:semiHidden/>
    <w:qFormat/>
    <w:rsid w:val="00770896"/>
    <w:rPr>
      <w:rFonts w:ascii="Segoe UI" w:hAnsi="Segoe UI" w:cs="Segoe UI"/>
      <w:sz w:val="18"/>
      <w:szCs w:val="18"/>
      <w:lang w:val="lt-LT"/>
    </w:rPr>
  </w:style>
  <w:style w:type="paragraph" w:styleId="Antrat">
    <w:name w:val="caption"/>
    <w:basedOn w:val="prastasis"/>
    <w:next w:val="Pagrindinistekstas"/>
    <w:qFormat/>
    <w:pPr>
      <w:suppressLineNumbers/>
      <w:spacing w:before="120" w:after="120"/>
    </w:pPr>
    <w:rPr>
      <w:rFonts w:cs="Lucida Sans"/>
      <w:i/>
      <w:iCs/>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link w:val="PavadinimasDiagrama"/>
    <w:uiPriority w:val="10"/>
    <w:qFormat/>
    <w:rsid w:val="0070760C"/>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70760C"/>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0760C"/>
    <w:pPr>
      <w:spacing w:before="160"/>
      <w:jc w:val="center"/>
    </w:pPr>
    <w:rPr>
      <w:i/>
      <w:iCs/>
      <w:color w:val="404040" w:themeColor="text1" w:themeTint="BF"/>
    </w:rPr>
  </w:style>
  <w:style w:type="paragraph" w:styleId="Sraopastraipa">
    <w:name w:val="List Paragraph"/>
    <w:basedOn w:val="prastasis"/>
    <w:link w:val="SraopastraipaDiagrama"/>
    <w:uiPriority w:val="34"/>
    <w:qFormat/>
    <w:rsid w:val="0070760C"/>
    <w:pPr>
      <w:ind w:left="720"/>
      <w:contextualSpacing/>
    </w:pPr>
  </w:style>
  <w:style w:type="paragraph" w:styleId="Iskirtacitata">
    <w:name w:val="Intense Quote"/>
    <w:basedOn w:val="prastasis"/>
    <w:next w:val="prastasis"/>
    <w:link w:val="IskirtacitataDiagrama"/>
    <w:uiPriority w:val="30"/>
    <w:qFormat/>
    <w:rsid w:val="007076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ataisymai">
    <w:name w:val="Revision"/>
    <w:uiPriority w:val="99"/>
    <w:semiHidden/>
    <w:qFormat/>
    <w:rsid w:val="008F5813"/>
    <w:rPr>
      <w:lang w:val="lt-LT"/>
    </w:rPr>
  </w:style>
  <w:style w:type="paragraph" w:customStyle="1" w:styleId="Standard">
    <w:name w:val="Standard"/>
    <w:qFormat/>
    <w:rsid w:val="004179DB"/>
    <w:pPr>
      <w:textAlignment w:val="baseline"/>
    </w:pPr>
    <w:rPr>
      <w:rFonts w:ascii="Liberation Serif" w:eastAsia="SimSun" w:hAnsi="Liberation Serif" w:cs="Lucida Sans"/>
      <w:kern w:val="2"/>
      <w:lang w:val="lt-LT" w:eastAsia="zh-CN" w:bidi="hi-IN"/>
    </w:rPr>
  </w:style>
  <w:style w:type="paragraph" w:styleId="Debesliotekstas">
    <w:name w:val="Balloon Text"/>
    <w:basedOn w:val="prastasis"/>
    <w:link w:val="DebesliotekstasDiagrama"/>
    <w:uiPriority w:val="99"/>
    <w:semiHidden/>
    <w:unhideWhenUsed/>
    <w:qFormat/>
    <w:rsid w:val="00770896"/>
    <w:pPr>
      <w:spacing w:after="0" w:line="240" w:lineRule="auto"/>
    </w:pPr>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5253</Words>
  <Characters>2995</Characters>
  <Application>Microsoft Office Word</Application>
  <DocSecurity>0</DocSecurity>
  <Lines>24</Lines>
  <Paragraphs>16</Paragraphs>
  <ScaleCrop>false</ScaleCrop>
  <Company/>
  <LinksUpToDate>false</LinksUpToDate>
  <CharactersWithSpaces>8232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Ceslavas Mikelevicius</dc:creator>
  <dc:description/>
  <cp:lastModifiedBy>Admin</cp:lastModifiedBy>
  <cp:revision>16</cp:revision>
  <cp:lastPrinted>2025-01-30T15:27:00Z</cp:lastPrinted>
  <dcterms:created xsi:type="dcterms:W3CDTF">2025-01-30T08:02:00Z</dcterms:created>
  <dcterms:modified xsi:type="dcterms:W3CDTF">2025-03-21T10:42:00Z</dcterms:modified>
  <dc:language>lt-LT</dc:language>
</cp:coreProperties>
</file>